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spacing w:after="0" w:before="200" w:line="240" w:lineRule="auto"/>
        <w:jc w:val="center"/>
        <w:rPr>
          <w:b w:val="1"/>
          <w:u w:val="single"/>
        </w:rPr>
      </w:pPr>
      <w:bookmarkStart w:colFirst="0" w:colLast="0" w:name="_cnscbtjuheek" w:id="0"/>
      <w:bookmarkEnd w:id="0"/>
      <w:r w:rsidDel="00000000" w:rsidR="00000000" w:rsidRPr="00000000">
        <w:rPr>
          <w:b w:val="1"/>
          <w:u w:val="single"/>
          <w:rtl w:val="0"/>
        </w:rPr>
        <w:t xml:space="preserve">Human Trafficking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60" w:before="0" w:line="240" w:lineRule="auto"/>
        <w:jc w:val="right"/>
        <w:rPr>
          <w:rFonts w:ascii="Nunito" w:cs="Nunito" w:eastAsia="Nunito" w:hAnsi="Nunito"/>
          <w:i w:val="1"/>
          <w:color w:val="333333"/>
          <w:sz w:val="18"/>
          <w:szCs w:val="18"/>
        </w:rPr>
      </w:pPr>
      <w:hyperlink r:id="rId6">
        <w:r w:rsidDel="00000000" w:rsidR="00000000" w:rsidRPr="00000000">
          <w:rPr>
            <w:rFonts w:ascii="Nunito" w:cs="Nunito" w:eastAsia="Nunito" w:hAnsi="Nunito"/>
            <w:i w:val="1"/>
            <w:color w:val="1155cc"/>
            <w:sz w:val="18"/>
            <w:szCs w:val="18"/>
            <w:u w:val="single"/>
            <w:rtl w:val="0"/>
          </w:rPr>
          <w:t xml:space="preserve">https://www.state.gov/identify-and-assist-a-trafficking-victim/#questions</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60" w:before="26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Everyone has the potential to discover a human trafficking situation. While the victims may sometimes be kept behind locked doors, they are often hidden right in front of us at, for example, construction sites, restaurants, elder care centers, nail salons, agricultural fields, and hotels. Traffickers’ use of coercion – such as threats of deportation and harm to the victim or their family members – is so powerful that even if you reach out to victims, they may be too fearful to accept your help. Knowing indicators of human trafficking and some follow up questions will help you act on your gut feeling that something is wrong and report it.</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b w:val="1"/>
          <w:color w:val="333333"/>
          <w:sz w:val="26"/>
          <w:szCs w:val="26"/>
          <w:u w:val="single"/>
        </w:rPr>
      </w:pPr>
      <w:bookmarkStart w:colFirst="0" w:colLast="0" w:name="_e3chwqy9r9e" w:id="1"/>
      <w:bookmarkEnd w:id="1"/>
      <w:r w:rsidDel="00000000" w:rsidR="00000000" w:rsidRPr="00000000">
        <w:rPr>
          <w:rFonts w:ascii="Nunito" w:cs="Nunito" w:eastAsia="Nunito" w:hAnsi="Nunito"/>
          <w:b w:val="1"/>
          <w:color w:val="333333"/>
          <w:sz w:val="26"/>
          <w:szCs w:val="26"/>
          <w:u w:val="single"/>
          <w:rtl w:val="0"/>
        </w:rPr>
        <w:t xml:space="preserve">Human Trafficking Indicators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While not an exhaustive list, these are </w:t>
      </w:r>
      <w:r w:rsidDel="00000000" w:rsidR="00000000" w:rsidRPr="00000000">
        <w:rPr>
          <w:rFonts w:ascii="Nunito" w:cs="Nunito" w:eastAsia="Nunito" w:hAnsi="Nunito"/>
          <w:b w:val="1"/>
          <w:color w:val="333333"/>
          <w:sz w:val="26"/>
          <w:szCs w:val="26"/>
          <w:u w:val="single"/>
          <w:rtl w:val="0"/>
        </w:rPr>
        <w:t xml:space="preserve">some key red flags</w:t>
      </w:r>
      <w:r w:rsidDel="00000000" w:rsidR="00000000" w:rsidRPr="00000000">
        <w:rPr>
          <w:rFonts w:ascii="Nunito" w:cs="Nunito" w:eastAsia="Nunito" w:hAnsi="Nunito"/>
          <w:color w:val="333333"/>
          <w:sz w:val="26"/>
          <w:szCs w:val="26"/>
          <w:rtl w:val="0"/>
        </w:rPr>
        <w:t xml:space="preserve"> that could alert you to a potential trafficking situation that should be reported:</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Living with employer</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Poor living conditions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Multiple people in cramped space</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Inability to speak to individual alone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Answers appear to be scripted and rehearsed</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Employer is holding identity documents</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Signs of physical abuse</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Submissive or fearful</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Unpaid or paid very little</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pacing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Under 18 and in prostitution</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00" w:line="240" w:lineRule="auto"/>
        <w:jc w:val="both"/>
        <w:rPr>
          <w:rFonts w:ascii="Nunito" w:cs="Nunito" w:eastAsia="Nunito" w:hAnsi="Nunito"/>
          <w:b w:val="1"/>
          <w:color w:val="333333"/>
          <w:sz w:val="26"/>
          <w:szCs w:val="26"/>
          <w:u w:val="single"/>
        </w:rPr>
      </w:pPr>
      <w:bookmarkStart w:colFirst="0" w:colLast="0" w:name="_5fpsvbp2sh2g" w:id="2"/>
      <w:bookmarkEnd w:id="2"/>
      <w:r w:rsidDel="00000000" w:rsidR="00000000" w:rsidRPr="00000000">
        <w:rPr>
          <w:rFonts w:ascii="Nunito" w:cs="Nunito" w:eastAsia="Nunito" w:hAnsi="Nunito"/>
          <w:b w:val="1"/>
          <w:color w:val="333333"/>
          <w:sz w:val="26"/>
          <w:szCs w:val="26"/>
          <w:u w:val="single"/>
          <w:rtl w:val="0"/>
        </w:rPr>
        <w:t xml:space="preserve">Questions to Ask</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Assuming you have the opportunity to speak with a potential victim privately and without jeopardizing the victim’s safety because the trafficker is watching, here are some sample questions to ask to follow up on the red flags you became alert to:</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0" w:afterAutospacing="0" w:before="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Can you leave your job if you want to?</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Can you come and go as you please?</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Have you been hurt or threatened if you tried to leave?</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Has your family been threatened?</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Do you live with your employer?</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Where do you sleep and eat?</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Are you in debt to your employer?</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pacing w:before="0" w:beforeAutospacing="0" w:line="240" w:lineRule="auto"/>
        <w:ind w:left="720" w:hanging="360"/>
        <w:jc w:val="both"/>
        <w:rPr>
          <w:rFonts w:ascii="Nunito" w:cs="Nunito" w:eastAsia="Nunito" w:hAnsi="Nunito"/>
          <w:sz w:val="26"/>
          <w:szCs w:val="26"/>
        </w:rPr>
      </w:pPr>
      <w:r w:rsidDel="00000000" w:rsidR="00000000" w:rsidRPr="00000000">
        <w:rPr>
          <w:rFonts w:ascii="Nunito" w:cs="Nunito" w:eastAsia="Nunito" w:hAnsi="Nunito"/>
          <w:color w:val="333333"/>
          <w:sz w:val="26"/>
          <w:szCs w:val="26"/>
          <w:rtl w:val="0"/>
        </w:rPr>
        <w:t xml:space="preserve">Do you have your passport/identification? Who has it?</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200" w:line="240" w:lineRule="auto"/>
        <w:jc w:val="both"/>
        <w:rPr>
          <w:rFonts w:ascii="Nunito" w:cs="Nunito" w:eastAsia="Nunito" w:hAnsi="Nunito"/>
          <w:b w:val="1"/>
          <w:color w:val="333333"/>
          <w:sz w:val="26"/>
          <w:szCs w:val="26"/>
          <w:u w:val="single"/>
        </w:rPr>
      </w:pPr>
      <w:bookmarkStart w:colFirst="0" w:colLast="0" w:name="_i1465cg28k4g" w:id="3"/>
      <w:bookmarkEnd w:id="3"/>
      <w:r w:rsidDel="00000000" w:rsidR="00000000" w:rsidRPr="00000000">
        <w:rPr>
          <w:rFonts w:ascii="Nunito" w:cs="Nunito" w:eastAsia="Nunito" w:hAnsi="Nunito"/>
          <w:b w:val="1"/>
          <w:color w:val="333333"/>
          <w:sz w:val="26"/>
          <w:szCs w:val="26"/>
          <w:u w:val="single"/>
          <w:rtl w:val="0"/>
        </w:rPr>
        <w:t xml:space="preserve">Where to Get Help</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If you believe you have identified someone still in the trafficking situation, alert law enforcement immediately at the numbers provided below. It may be unsafe to attempt to rescue a trafficking victim. You have no way of knowing how the trafficker may react and retaliate against the victim and you. If, however, you identify a victim who has escaped the trafficking situation, there are a number of organizations to whom the victim could be referred for help with shelter, medical care, legal assistance, and other critical services. In this case, call the National Human Trafficking Hotline described below.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tl w:val="0"/>
        </w:rPr>
      </w:r>
    </w:p>
    <w:p w:rsidR="00000000" w:rsidDel="00000000" w:rsidP="00000000" w:rsidRDefault="00000000" w:rsidRPr="00000000" w14:paraId="0000001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b w:val="1"/>
          <w:i w:val="1"/>
          <w:color w:val="333333"/>
          <w:sz w:val="26"/>
          <w:szCs w:val="26"/>
          <w:u w:val="single"/>
        </w:rPr>
      </w:pPr>
      <w:bookmarkStart w:colFirst="0" w:colLast="0" w:name="_9ct71fv617id" w:id="4"/>
      <w:bookmarkEnd w:id="4"/>
      <w:r w:rsidDel="00000000" w:rsidR="00000000" w:rsidRPr="00000000">
        <w:rPr>
          <w:rFonts w:ascii="Nunito" w:cs="Nunito" w:eastAsia="Nunito" w:hAnsi="Nunito"/>
          <w:b w:val="1"/>
          <w:i w:val="1"/>
          <w:color w:val="333333"/>
          <w:sz w:val="26"/>
          <w:szCs w:val="26"/>
          <w:u w:val="single"/>
          <w:rtl w:val="0"/>
        </w:rPr>
        <w:t xml:space="preserve">911 Emergency</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For urgent situations, notify local law enforcement immediately by calling 911. You may also want to alert the National Human Trafficking Hotline described below so that they can ensure response by law enforcement officials knowledgeable about human trafficking.</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color w:val="333333"/>
          <w:sz w:val="26"/>
          <w:szCs w:val="26"/>
        </w:rPr>
      </w:pPr>
      <w:r w:rsidDel="00000000" w:rsidR="00000000" w:rsidRPr="00000000">
        <w:rPr>
          <w:rtl w:val="0"/>
        </w:rPr>
      </w:r>
    </w:p>
    <w:p w:rsidR="00000000" w:rsidDel="00000000" w:rsidP="00000000" w:rsidRDefault="00000000" w:rsidRPr="00000000" w14:paraId="0000002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jc w:val="both"/>
        <w:rPr>
          <w:rFonts w:ascii="Nunito" w:cs="Nunito" w:eastAsia="Nunito" w:hAnsi="Nunito"/>
          <w:b w:val="1"/>
          <w:i w:val="1"/>
          <w:color w:val="333333"/>
          <w:sz w:val="26"/>
          <w:szCs w:val="26"/>
          <w:u w:val="single"/>
        </w:rPr>
      </w:pPr>
      <w:bookmarkStart w:colFirst="0" w:colLast="0" w:name="_aqvbukv60yiq" w:id="5"/>
      <w:bookmarkEnd w:id="5"/>
      <w:r w:rsidDel="00000000" w:rsidR="00000000" w:rsidRPr="00000000">
        <w:rPr>
          <w:rFonts w:ascii="Nunito" w:cs="Nunito" w:eastAsia="Nunito" w:hAnsi="Nunito"/>
          <w:b w:val="1"/>
          <w:i w:val="1"/>
          <w:color w:val="333333"/>
          <w:sz w:val="26"/>
          <w:szCs w:val="26"/>
          <w:u w:val="single"/>
          <w:rtl w:val="0"/>
        </w:rPr>
        <w:t xml:space="preserve">1-888-373-7888 National Human Trafficking Hotline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360" w:before="0" w:line="240" w:lineRule="auto"/>
        <w:jc w:val="both"/>
        <w:rPr>
          <w:rFonts w:ascii="Nunito" w:cs="Nunito" w:eastAsia="Nunito" w:hAnsi="Nunito"/>
          <w:color w:val="333333"/>
          <w:sz w:val="26"/>
          <w:szCs w:val="26"/>
        </w:rPr>
      </w:pPr>
      <w:r w:rsidDel="00000000" w:rsidR="00000000" w:rsidRPr="00000000">
        <w:rPr>
          <w:rFonts w:ascii="Nunito" w:cs="Nunito" w:eastAsia="Nunito" w:hAnsi="Nunito"/>
          <w:color w:val="333333"/>
          <w:sz w:val="26"/>
          <w:szCs w:val="26"/>
          <w:rtl w:val="0"/>
        </w:rPr>
        <w:t xml:space="preserve">Call the National Human Trafficking Hotline, a national 24-hour, toll-free, multilingual anti-trafficking hotline. Call 1-888-373-7888 to report a tip; connect with anti-trafficking services in your area; or request training and technical assistance, general information, or specific anti-trafficking resources. The Hotline is equipped to handle calls from all regions of the United States from a wide range of callers including, but not limited to: potential trafficking victims, community members, law enforcement, medical professionals, legal professionals, service providers, researchers, students, and policymakers.</w:t>
      </w:r>
    </w:p>
    <w:p w:rsidR="00000000" w:rsidDel="00000000" w:rsidP="00000000" w:rsidRDefault="00000000" w:rsidRPr="00000000" w14:paraId="00000022">
      <w:pPr>
        <w:spacing w:line="240" w:lineRule="auto"/>
        <w:jc w:val="both"/>
        <w:rPr>
          <w:rFonts w:ascii="Nunito" w:cs="Nunito" w:eastAsia="Nunito" w:hAnsi="Nunito"/>
          <w:sz w:val="26"/>
          <w:szCs w:val="26"/>
        </w:rPr>
      </w:pPr>
      <w:r w:rsidDel="00000000" w:rsidR="00000000" w:rsidRPr="00000000">
        <w:rPr>
          <w:rtl w:val="0"/>
        </w:rPr>
      </w:r>
    </w:p>
    <w:sectPr>
      <w:headerReference r:id="rId7" w:type="default"/>
      <w:footerReference r:id="rId8" w:type="default"/>
      <w:pgSz w:h="15840" w:w="12240" w:orient="portrait"/>
      <w:pgMar w:bottom="1440" w:top="207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40" w:lineRule="auto"/>
      <w:jc w:val="right"/>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rtl w:val="0"/>
      </w:rPr>
      <w:t xml:space="preserve">CONTACT Training Team</w:t>
    </w:r>
    <w:r w:rsidDel="00000000" w:rsidR="00000000" w:rsidRPr="00000000">
      <w:rPr>
        <w:rFonts w:ascii="Trebuchet MS" w:cs="Trebuchet MS" w:eastAsia="Trebuchet MS" w:hAnsi="Trebuchet MS"/>
        <w:sz w:val="18"/>
        <w:szCs w:val="18"/>
        <w:rtl w:val="0"/>
      </w:rPr>
      <w:t xml:space="preserve"> - </w:t>
    </w:r>
    <w:r w:rsidDel="00000000" w:rsidR="00000000" w:rsidRPr="00000000">
      <w:rPr>
        <w:rFonts w:ascii="Trebuchet MS" w:cs="Trebuchet MS" w:eastAsia="Trebuchet MS" w:hAnsi="Trebuchet MS"/>
        <w:i w:val="1"/>
        <w:sz w:val="18"/>
        <w:szCs w:val="18"/>
        <w:rtl w:val="0"/>
      </w:rPr>
      <w:t xml:space="preserve">rev</w:t>
    </w:r>
    <w:r w:rsidDel="00000000" w:rsidR="00000000" w:rsidRPr="00000000">
      <w:rPr>
        <w:rFonts w:ascii="Trebuchet MS" w:cs="Trebuchet MS" w:eastAsia="Trebuchet MS" w:hAnsi="Trebuchet MS"/>
        <w:sz w:val="18"/>
        <w:szCs w:val="18"/>
        <w:rtl w:val="0"/>
      </w:rPr>
      <w:t xml:space="preserve">.</w:t>
    </w:r>
    <w:r w:rsidDel="00000000" w:rsidR="00000000" w:rsidRPr="00000000">
      <w:rPr>
        <w:rFonts w:ascii="Trebuchet MS" w:cs="Trebuchet MS" w:eastAsia="Trebuchet MS" w:hAnsi="Trebuchet MS"/>
        <w:i w:val="1"/>
        <w:sz w:val="18"/>
        <w:szCs w:val="18"/>
        <w:rtl w:val="0"/>
      </w:rPr>
      <w:t xml:space="preserve"> Effective:  3/5/2022 - dmb</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-152399</wp:posOffset>
          </wp:positionV>
          <wp:extent cx="2081213" cy="9387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1213" cy="938760"/>
                  </a:xfrm>
                  <a:prstGeom prst="rect"/>
                  <a:ln/>
                </pic:spPr>
              </pic:pic>
            </a:graphicData>
          </a:graphic>
        </wp:anchor>
      </w:drawing>
    </w:r>
  </w:p>
  <w:p w:rsidR="00000000" w:rsidDel="00000000" w:rsidP="00000000" w:rsidRDefault="00000000" w:rsidRPr="00000000" w14:paraId="00000025">
    <w:pPr>
      <w:spacing w:line="240" w:lineRule="auto"/>
      <w:jc w:val="right"/>
      <w:rPr>
        <w:rFonts w:ascii="Trebuchet MS" w:cs="Trebuchet MS" w:eastAsia="Trebuchet MS" w:hAnsi="Trebuchet MS"/>
        <w:i w:val="1"/>
        <w:sz w:val="18"/>
        <w:szCs w:val="18"/>
      </w:rPr>
    </w:pPr>
    <w:r w:rsidDel="00000000" w:rsidR="00000000" w:rsidRPr="00000000">
      <w:rPr>
        <w:rFonts w:ascii="Trebuchet MS" w:cs="Trebuchet MS" w:eastAsia="Trebuchet MS" w:hAnsi="Trebuchet MS"/>
        <w:b w:val="1"/>
        <w:rtl w:val="0"/>
      </w:rPr>
      <w:t xml:space="preserve">SUBJECT</w:t>
    </w:r>
    <w:r w:rsidDel="00000000" w:rsidR="00000000" w:rsidRPr="00000000">
      <w:rPr>
        <w:rFonts w:ascii="Trebuchet MS" w:cs="Trebuchet MS" w:eastAsia="Trebuchet MS" w:hAnsi="Trebuchet MS"/>
        <w:b w:val="1"/>
        <w:sz w:val="18"/>
        <w:szCs w:val="18"/>
        <w:rtl w:val="0"/>
      </w:rPr>
      <w:t xml:space="preserve">:</w:t>
    </w:r>
    <w:r w:rsidDel="00000000" w:rsidR="00000000" w:rsidRPr="00000000">
      <w:rPr>
        <w:rFonts w:ascii="Trebuchet MS" w:cs="Trebuchet MS" w:eastAsia="Trebuchet MS" w:hAnsi="Trebuchet MS"/>
        <w:i w:val="1"/>
        <w:sz w:val="18"/>
        <w:szCs w:val="18"/>
        <w:rtl w:val="0"/>
      </w:rPr>
      <w:t xml:space="preserve">  </w:t>
    </w:r>
    <w:r w:rsidDel="00000000" w:rsidR="00000000" w:rsidRPr="00000000">
      <w:rPr>
        <w:rFonts w:ascii="Trebuchet MS" w:cs="Trebuchet MS" w:eastAsia="Trebuchet MS" w:hAnsi="Trebuchet MS"/>
        <w:i w:val="1"/>
        <w:sz w:val="18"/>
        <w:szCs w:val="18"/>
        <w:u w:val="single"/>
        <w:rtl w:val="0"/>
      </w:rPr>
      <w:t xml:space="preserve">Human Trafficking</w:t>
    </w:r>
    <w:r w:rsidDel="00000000" w:rsidR="00000000" w:rsidRPr="00000000">
      <w:rPr>
        <w:rFonts w:ascii="Trebuchet MS" w:cs="Trebuchet MS" w:eastAsia="Trebuchet MS" w:hAnsi="Trebuchet MS"/>
        <w:i w:val="1"/>
        <w:sz w:val="18"/>
        <w:szCs w:val="18"/>
        <w:rtl w:val="0"/>
      </w:rPr>
      <w:t xml:space="preserve"> </w:t>
    </w:r>
  </w:p>
  <w:p w:rsidR="00000000" w:rsidDel="00000000" w:rsidP="00000000" w:rsidRDefault="00000000" w:rsidRPr="00000000" w14:paraId="00000026">
    <w:pPr>
      <w:spacing w:line="240" w:lineRule="auto"/>
      <w:ind w:left="5850" w:firstLine="0"/>
      <w:jc w:val="right"/>
      <w:rPr>
        <w:rFonts w:ascii="Trebuchet MS" w:cs="Trebuchet MS" w:eastAsia="Trebuchet MS" w:hAnsi="Trebuchet MS"/>
        <w:sz w:val="18"/>
        <w:szCs w:val="18"/>
      </w:rPr>
    </w:pPr>
    <w:r w:rsidDel="00000000" w:rsidR="00000000" w:rsidRPr="00000000">
      <w:rPr>
        <w:rFonts w:ascii="Trebuchet MS" w:cs="Trebuchet MS" w:eastAsia="Trebuchet MS" w:hAnsi="Trebuchet MS"/>
        <w:b w:val="1"/>
        <w:i w:val="1"/>
        <w:rtl w:val="0"/>
      </w:rPr>
      <w:t xml:space="preserve">Tool</w:t>
    </w:r>
    <w:r w:rsidDel="00000000" w:rsidR="00000000" w:rsidRPr="00000000">
      <w:rPr>
        <w:rFonts w:ascii="Trebuchet MS" w:cs="Trebuchet MS" w:eastAsia="Trebuchet MS" w:hAnsi="Trebuchet MS"/>
        <w:b w:val="1"/>
        <w:i w:val="1"/>
        <w:sz w:val="18"/>
        <w:szCs w:val="18"/>
        <w:rtl w:val="0"/>
      </w:rPr>
      <w:t xml:space="preserve">:</w:t>
    </w:r>
    <w:r w:rsidDel="00000000" w:rsidR="00000000" w:rsidRPr="00000000">
      <w:rPr>
        <w:rFonts w:ascii="Trebuchet MS" w:cs="Trebuchet MS" w:eastAsia="Trebuchet MS" w:hAnsi="Trebuchet MS"/>
        <w:sz w:val="18"/>
        <w:szCs w:val="18"/>
        <w:rtl w:val="0"/>
      </w:rPr>
      <w:t xml:space="preserve"> Training Team LECTURE Key Notes </w:t>
    </w:r>
  </w:p>
  <w:p w:rsidR="00000000" w:rsidDel="00000000" w:rsidP="00000000" w:rsidRDefault="00000000" w:rsidRPr="00000000" w14:paraId="00000027">
    <w:pPr>
      <w:spacing w:line="240" w:lineRule="auto"/>
      <w:ind w:left="8280" w:firstLine="0"/>
      <w:jc w:val="right"/>
      <w:rPr>
        <w:rFonts w:ascii="Trebuchet MS" w:cs="Trebuchet MS" w:eastAsia="Trebuchet MS" w:hAnsi="Trebuchet MS"/>
        <w:i w:val="1"/>
        <w:sz w:val="18"/>
        <w:szCs w:val="18"/>
      </w:rPr>
    </w:pPr>
    <w:r w:rsidDel="00000000" w:rsidR="00000000" w:rsidRPr="00000000">
      <w:rPr>
        <w:rFonts w:ascii="Trebuchet MS" w:cs="Trebuchet MS" w:eastAsia="Trebuchet MS" w:hAnsi="Trebuchet MS"/>
        <w:i w:val="1"/>
        <w:sz w:val="18"/>
        <w:szCs w:val="18"/>
        <w:rtl w:val="0"/>
      </w:rPr>
      <w:t xml:space="preserve">Page </w:t>
    </w:r>
    <w:r w:rsidDel="00000000" w:rsidR="00000000" w:rsidRPr="00000000">
      <w:rPr>
        <w:rFonts w:ascii="Trebuchet MS" w:cs="Trebuchet MS" w:eastAsia="Trebuchet MS" w:hAnsi="Trebuchet MS"/>
        <w:i w:val="1"/>
        <w:sz w:val="18"/>
        <w:szCs w:val="18"/>
      </w:rPr>
      <w:fldChar w:fldCharType="begin"/>
      <w:instrText xml:space="preserve">PAGE</w:instrText>
      <w:fldChar w:fldCharType="separate"/>
      <w:fldChar w:fldCharType="end"/>
    </w:r>
    <w:r w:rsidDel="00000000" w:rsidR="00000000" w:rsidRPr="00000000">
      <w:rPr>
        <w:rFonts w:ascii="Trebuchet MS" w:cs="Trebuchet MS" w:eastAsia="Trebuchet MS" w:hAnsi="Trebuchet MS"/>
        <w:i w:val="1"/>
        <w:sz w:val="18"/>
        <w:szCs w:val="18"/>
        <w:rtl w:val="0"/>
      </w:rPr>
      <w:t xml:space="preserve"> of 2</w:t>
    </w:r>
  </w:p>
  <w:p w:rsidR="00000000" w:rsidDel="00000000" w:rsidP="00000000" w:rsidRDefault="00000000" w:rsidRPr="00000000" w14:paraId="00000028">
    <w:pPr>
      <w:spacing w:line="240" w:lineRule="auto"/>
      <w:jc w:val="right"/>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29">
    <w:pPr>
      <w:spacing w:line="240" w:lineRule="auto"/>
      <w:jc w:val="right"/>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2A">
    <w:pPr>
      <w:spacing w:line="240" w:lineRule="auto"/>
      <w:jc w:val="center"/>
      <w:rPr>
        <w:rFonts w:ascii="Trebuchet MS" w:cs="Trebuchet MS" w:eastAsia="Trebuchet MS" w:hAnsi="Trebuchet MS"/>
        <w:i w:val="1"/>
        <w:sz w:val="18"/>
        <w:szCs w:val="18"/>
        <w:shd w:fill="f6b26b" w:val="clear"/>
      </w:rPr>
    </w:pPr>
    <w:r w:rsidDel="00000000" w:rsidR="00000000" w:rsidRPr="00000000">
      <w:rPr>
        <w:rtl w:val="0"/>
      </w:rPr>
    </w:r>
  </w:p>
  <w:p w:rsidR="00000000" w:rsidDel="00000000" w:rsidP="00000000" w:rsidRDefault="00000000" w:rsidRPr="00000000" w14:paraId="0000002B">
    <w:pPr>
      <w:spacing w:line="240" w:lineRule="auto"/>
      <w:jc w:val="right"/>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ate.gov/identify-and-assist-a-trafficking-victim/#question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