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ELDER ABUSE Policy: 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sz w:val="38"/>
          <w:szCs w:val="38"/>
          <w:rtl w:val="0"/>
        </w:rPr>
        <w:t xml:space="preserve">It is the policy of CONTACT, that if a Helpline Specialist has been able to ascertain: </w:t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sz w:val="38"/>
          <w:szCs w:val="38"/>
          <w:rtl w:val="0"/>
        </w:rPr>
        <w:t xml:space="preserve">an address/location and/or names, ALL Specialists  are required to report any instances of ELDER Abuse to our CONTACT Backup Worker for further immediate action to be taken.  </w:t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sz w:val="38"/>
          <w:szCs w:val="38"/>
          <w:rtl w:val="0"/>
        </w:rPr>
        <w:t xml:space="preserve">Rev. 6/14/21</w:t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spacing w:line="240" w:lineRule="auto"/>
      <w:jc w:val="right"/>
      <w:rPr>
        <w:rFonts w:ascii="Nunito" w:cs="Nunito" w:eastAsia="Nunito" w:hAnsi="Nunito"/>
        <w:b w:val="1"/>
        <w:color w:val="666666"/>
        <w:sz w:val="24"/>
        <w:szCs w:val="24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ELDER ABUSE Policy::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    </w:t>
    </w:r>
  </w:p>
  <w:p w:rsidR="00000000" w:rsidDel="00000000" w:rsidP="00000000" w:rsidRDefault="00000000" w:rsidRPr="00000000" w14:paraId="00000010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1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2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6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7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