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rtl w:val="0"/>
        </w:rPr>
        <w:t xml:space="preserve">DUTY TO WARN Policy:</w:t>
      </w:r>
    </w:p>
    <w:p w:rsidR="00000000" w:rsidDel="00000000" w:rsidP="00000000" w:rsidRDefault="00000000" w:rsidRPr="00000000" w14:paraId="00000004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In the event of threat or harm to others, such as a Caller stating that he or she is going to harm or kill another person, the Helpline Specialist shall use ALL means possible, to ascertain pertinent information.</w:t>
      </w:r>
    </w:p>
    <w:p w:rsidR="00000000" w:rsidDel="00000000" w:rsidP="00000000" w:rsidRDefault="00000000" w:rsidRPr="00000000" w14:paraId="00000006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right="270" w:firstLine="0"/>
        <w:jc w:val="both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Rev. 2021</w:t>
      </w:r>
    </w:p>
    <w:p w:rsidR="00000000" w:rsidDel="00000000" w:rsidP="00000000" w:rsidRDefault="00000000" w:rsidRPr="00000000" w14:paraId="00000008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270" w:firstLine="0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360" w:lineRule="auto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Training Team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-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rev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.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-152399</wp:posOffset>
          </wp:positionV>
          <wp:extent cx="2081213" cy="93876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9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pageBreakBefore w:val="0"/>
      <w:spacing w:line="240" w:lineRule="auto"/>
      <w:jc w:val="right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Effective:     2021-  -dmb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Subject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: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DUTY TO WARN Policy:</w:t>
    </w:r>
  </w:p>
  <w:p w:rsidR="00000000" w:rsidDel="00000000" w:rsidP="00000000" w:rsidRDefault="00000000" w:rsidRPr="00000000" w14:paraId="0000000E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                             </w:t>
    </w:r>
  </w:p>
  <w:p w:rsidR="00000000" w:rsidDel="00000000" w:rsidP="00000000" w:rsidRDefault="00000000" w:rsidRPr="00000000" w14:paraId="0000000F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0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of 1</w:t>
    </w:r>
  </w:p>
  <w:p w:rsidR="00000000" w:rsidDel="00000000" w:rsidP="00000000" w:rsidRDefault="00000000" w:rsidRPr="00000000" w14:paraId="00000011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jc w:val="both"/>
      <w:rPr>
        <w:rFonts w:ascii="Nunito" w:cs="Nunito" w:eastAsia="Nunito" w:hAnsi="Nunito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sz w:val="32"/>
        <w:szCs w:val="32"/>
      </w:rPr>
    </w:pPr>
    <w:bookmarkStart w:colFirst="0" w:colLast="0" w:name="_mgfy9gan7h5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b w:val="1"/>
        <w:sz w:val="44"/>
        <w:szCs w:val="44"/>
      </w:rPr>
    </w:pPr>
    <w:bookmarkStart w:colFirst="0" w:colLast="0" w:name="_is9lcbyns04d" w:id="1"/>
    <w:bookmarkEnd w:id="1"/>
    <w:r w:rsidDel="00000000" w:rsidR="00000000" w:rsidRPr="00000000">
      <w:rPr>
        <w:rFonts w:ascii="Nunito" w:cs="Nunito" w:eastAsia="Nunito" w:hAnsi="Nunito"/>
        <w:b w:val="1"/>
        <w:sz w:val="44"/>
        <w:szCs w:val="44"/>
        <w:rtl w:val="0"/>
      </w:rPr>
      <w:t xml:space="preserve">2021 POLICIES:</w:t>
    </w:r>
  </w:p>
  <w:p w:rsidR="00000000" w:rsidDel="00000000" w:rsidP="00000000" w:rsidRDefault="00000000" w:rsidRPr="00000000" w14:paraId="00000015">
    <w:pPr>
      <w:ind w:left="360" w:right="270" w:firstLine="0"/>
      <w:jc w:val="center"/>
      <w:rPr>
        <w:rFonts w:ascii="Nunito" w:cs="Nunito" w:eastAsia="Nunito" w:hAnsi="Nunito"/>
        <w:i w:val="1"/>
        <w:color w:val="1d2228"/>
        <w:sz w:val="28"/>
        <w:szCs w:val="28"/>
        <w:highlight w:val="white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POLICY is what the organization's views , actions and intentions </w:t>
    </w:r>
  </w:p>
  <w:p w:rsidR="00000000" w:rsidDel="00000000" w:rsidP="00000000" w:rsidRDefault="00000000" w:rsidRPr="00000000" w14:paraId="00000016">
    <w:pPr>
      <w:ind w:left="360" w:right="270" w:firstLine="0"/>
      <w:jc w:val="center"/>
      <w:rPr>
        <w:rFonts w:ascii="Nunito" w:cs="Nunito" w:eastAsia="Nunito" w:hAnsi="Nunito"/>
        <w:sz w:val="28"/>
        <w:szCs w:val="28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       are, in regard to a specific situation or area of concern.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  <w:shd w:fill="f6b26b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ind w:right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